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A9" w:rsidRPr="009C38A9" w:rsidRDefault="009C38A9" w:rsidP="009C38A9">
      <w:pPr>
        <w:shd w:val="clear" w:color="auto" w:fill="FFFFFF"/>
        <w:spacing w:before="274"/>
        <w:ind w:left="29"/>
        <w:jc w:val="center"/>
        <w:rPr>
          <w:b/>
        </w:rPr>
      </w:pPr>
      <w:r w:rsidRPr="009C38A9">
        <w:rPr>
          <w:rFonts w:ascii="Times New Roman" w:hAnsi="Times New Roman" w:cs="Times New Roman"/>
          <w:b/>
          <w:sz w:val="26"/>
          <w:szCs w:val="26"/>
        </w:rPr>
        <w:t>Меры поддержки юридических лиц, и (или) индивидуальных</w:t>
      </w:r>
    </w:p>
    <w:p w:rsidR="009C38A9" w:rsidRPr="009C38A9" w:rsidRDefault="009C38A9" w:rsidP="009C38A9">
      <w:pPr>
        <w:shd w:val="clear" w:color="auto" w:fill="FFFFFF"/>
        <w:ind w:left="19"/>
        <w:jc w:val="center"/>
        <w:rPr>
          <w:b/>
        </w:rPr>
      </w:pPr>
      <w:r w:rsidRPr="009C38A9">
        <w:rPr>
          <w:rFonts w:ascii="Times New Roman" w:hAnsi="Times New Roman" w:cs="Times New Roman"/>
          <w:b/>
          <w:sz w:val="26"/>
          <w:szCs w:val="26"/>
        </w:rPr>
        <w:t>предпринимателей, и (или) кре</w:t>
      </w:r>
      <w:r>
        <w:rPr>
          <w:rFonts w:ascii="Times New Roman" w:hAnsi="Times New Roman" w:cs="Times New Roman"/>
          <w:b/>
          <w:sz w:val="26"/>
          <w:szCs w:val="26"/>
        </w:rPr>
        <w:t>стьянских (фермерских) хозяйств,</w:t>
      </w:r>
    </w:p>
    <w:p w:rsidR="009C38A9" w:rsidRPr="009C38A9" w:rsidRDefault="009C38A9" w:rsidP="009C38A9">
      <w:pPr>
        <w:shd w:val="clear" w:color="auto" w:fill="FFFFFF"/>
        <w:ind w:left="14"/>
        <w:jc w:val="center"/>
        <w:rPr>
          <w:b/>
        </w:rPr>
      </w:pPr>
      <w:proofErr w:type="gramStart"/>
      <w:r w:rsidRPr="009C38A9">
        <w:rPr>
          <w:rFonts w:ascii="Times New Roman" w:hAnsi="Times New Roman" w:cs="Times New Roman"/>
          <w:b/>
          <w:sz w:val="26"/>
          <w:szCs w:val="26"/>
        </w:rPr>
        <w:t>относящихся</w:t>
      </w:r>
      <w:proofErr w:type="gramEnd"/>
      <w:r w:rsidRPr="009C38A9">
        <w:rPr>
          <w:rFonts w:ascii="Times New Roman" w:hAnsi="Times New Roman" w:cs="Times New Roman"/>
          <w:b/>
          <w:sz w:val="26"/>
          <w:szCs w:val="26"/>
        </w:rPr>
        <w:t xml:space="preserve"> к субъектам малого и среднего предпринимательства</w:t>
      </w:r>
    </w:p>
    <w:p w:rsidR="009C38A9" w:rsidRPr="009C38A9" w:rsidRDefault="009C38A9" w:rsidP="009C38A9">
      <w:pPr>
        <w:shd w:val="clear" w:color="auto" w:fill="FFFFFF"/>
        <w:jc w:val="center"/>
        <w:rPr>
          <w:b/>
        </w:rPr>
      </w:pPr>
      <w:r w:rsidRPr="009C38A9">
        <w:rPr>
          <w:rFonts w:ascii="Times New Roman" w:hAnsi="Times New Roman" w:cs="Times New Roman"/>
          <w:b/>
          <w:sz w:val="26"/>
          <w:szCs w:val="26"/>
        </w:rPr>
        <w:t>авт</w:t>
      </w:r>
      <w:r w:rsidR="00E11316">
        <w:rPr>
          <w:rFonts w:ascii="Times New Roman" w:hAnsi="Times New Roman" w:cs="Times New Roman"/>
          <w:b/>
          <w:sz w:val="26"/>
          <w:szCs w:val="26"/>
        </w:rPr>
        <w:t>ономного округа, предусмотренные</w:t>
      </w:r>
      <w:r w:rsidRPr="009C38A9">
        <w:rPr>
          <w:rFonts w:ascii="Times New Roman" w:hAnsi="Times New Roman" w:cs="Times New Roman"/>
          <w:b/>
          <w:sz w:val="26"/>
          <w:szCs w:val="26"/>
        </w:rPr>
        <w:t xml:space="preserve"> действующими нормативными</w:t>
      </w:r>
      <w:bookmarkStart w:id="0" w:name="_GoBack"/>
      <w:bookmarkEnd w:id="0"/>
    </w:p>
    <w:p w:rsidR="009C38A9" w:rsidRPr="009C38A9" w:rsidRDefault="009C38A9" w:rsidP="009C38A9">
      <w:pPr>
        <w:shd w:val="clear" w:color="auto" w:fill="FFFFFF"/>
        <w:ind w:left="5"/>
        <w:jc w:val="center"/>
        <w:rPr>
          <w:b/>
        </w:rPr>
      </w:pPr>
      <w:r w:rsidRPr="009C38A9">
        <w:rPr>
          <w:rFonts w:ascii="Times New Roman" w:hAnsi="Times New Roman" w:cs="Times New Roman"/>
          <w:b/>
          <w:sz w:val="26"/>
          <w:szCs w:val="26"/>
        </w:rPr>
        <w:t>правовыми актами автономного округа</w:t>
      </w:r>
    </w:p>
    <w:p w:rsidR="009C38A9" w:rsidRDefault="009C38A9" w:rsidP="009C38A9">
      <w:pPr>
        <w:shd w:val="clear" w:color="auto" w:fill="FFFFFF"/>
        <w:spacing w:before="346"/>
        <w:ind w:right="29"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 (далее - субъект предпринимательства), зарегистрированным и (или) состоящим на налоговом учете в Ханты-Мансийском автономном округе - Югре (далее -</w:t>
      </w:r>
      <w:r w:rsidR="00B170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автономный округ), а также осуществляющим деятельность в автономном округе, в соответствии с государственной программой Ханты-Мансийского автономного округа - Югры «Социально-эк</w:t>
      </w:r>
      <w:r w:rsidR="00B17020">
        <w:rPr>
          <w:rFonts w:ascii="Times New Roman" w:hAnsi="Times New Roman" w:cs="Times New Roman"/>
          <w:sz w:val="26"/>
          <w:szCs w:val="26"/>
        </w:rPr>
        <w:t>ономическое развитие, инвестиции</w:t>
      </w:r>
      <w:r>
        <w:rPr>
          <w:rFonts w:ascii="Times New Roman" w:hAnsi="Times New Roman" w:cs="Times New Roman"/>
          <w:sz w:val="26"/>
          <w:szCs w:val="26"/>
        </w:rPr>
        <w:t xml:space="preserve"> и инновации Ханты-Мансийского автономного округа - Югры на </w:t>
      </w:r>
      <w:r>
        <w:rPr>
          <w:rFonts w:ascii="Times New Roman" w:hAnsi="Times New Roman" w:cs="Times New Roman"/>
          <w:spacing w:val="20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- 2020 годы», утвержденной постановлением Правительства Ханты-Мансийского автономного округа - Югры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 октября 2013 года № </w:t>
      </w:r>
      <w:r>
        <w:rPr>
          <w:rFonts w:ascii="Times New Roman" w:hAnsi="Times New Roman" w:cs="Times New Roman"/>
          <w:spacing w:val="12"/>
          <w:sz w:val="26"/>
          <w:szCs w:val="26"/>
        </w:rPr>
        <w:t>419-п</w:t>
      </w:r>
      <w:r>
        <w:rPr>
          <w:rFonts w:ascii="Times New Roman" w:hAnsi="Times New Roman" w:cs="Times New Roman"/>
          <w:sz w:val="26"/>
          <w:szCs w:val="26"/>
        </w:rPr>
        <w:t xml:space="preserve"> (далее - Программа), может быть оказана поддержка, в следующих формах: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поручительств (Программа «Гарантия»);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10"/>
        <w:ind w:firstLine="567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поддержка;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информационно-консультационная поддержка;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компенсация части затрат по уплате лизинговых платежей;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10"/>
        <w:ind w:firstLine="567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компенсация банковской процентной ставки;</w:t>
      </w:r>
    </w:p>
    <w:p w:rsidR="009C38A9" w:rsidRDefault="005657DA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</w:t>
      </w:r>
      <w:r w:rsidR="009C38A9">
        <w:rPr>
          <w:rFonts w:ascii="Times New Roman" w:hAnsi="Times New Roman" w:cs="Times New Roman"/>
          <w:sz w:val="26"/>
          <w:szCs w:val="26"/>
        </w:rPr>
        <w:t>антовая</w:t>
      </w:r>
      <w:proofErr w:type="spellEnd"/>
      <w:r w:rsidR="009C38A9">
        <w:rPr>
          <w:rFonts w:ascii="Times New Roman" w:hAnsi="Times New Roman" w:cs="Times New Roman"/>
          <w:sz w:val="26"/>
          <w:szCs w:val="26"/>
        </w:rPr>
        <w:t xml:space="preserve"> поддержка;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имущественная поддержка;</w:t>
      </w:r>
    </w:p>
    <w:p w:rsidR="009C38A9" w:rsidRDefault="009C38A9" w:rsidP="009C38A9">
      <w:pPr>
        <w:numPr>
          <w:ilvl w:val="0"/>
          <w:numId w:val="1"/>
        </w:numPr>
        <w:shd w:val="clear" w:color="auto" w:fill="FFFFFF"/>
        <w:tabs>
          <w:tab w:val="left" w:pos="955"/>
        </w:tabs>
        <w:ind w:firstLine="567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микрофинансирование.</w:t>
      </w:r>
    </w:p>
    <w:p w:rsidR="009C38A9" w:rsidRDefault="009C38A9" w:rsidP="009C38A9">
      <w:pPr>
        <w:shd w:val="clear" w:color="auto" w:fill="FFFFFF"/>
        <w:ind w:right="43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Для получения более подробной информации о формах поддержки, субъект предпринимательства может обратиться в Фонд поддержки предпринимательства Югры, по адресу: г. Ханты-Мансийск,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Пионерская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д. 14, тел. 8 (3467) 356-030, 333-143.</w:t>
      </w:r>
    </w:p>
    <w:p w:rsidR="009C38A9" w:rsidRDefault="009C38A9" w:rsidP="009C38A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Информация о формах поддержки размещена на сайте Фонда поддержки предпринимательства Югры </w:t>
      </w:r>
      <w:hyperlink r:id="rId6" w:history="1"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sb</w:t>
        </w:r>
        <w:proofErr w:type="spellEnd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ugra</w:t>
        </w:r>
        <w:proofErr w:type="spellEnd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5657DA" w:rsidRPr="00A0627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</w:hyperlink>
    </w:p>
    <w:p w:rsidR="009C38A9" w:rsidRDefault="009C38A9" w:rsidP="009C38A9">
      <w:pPr>
        <w:shd w:val="clear" w:color="auto" w:fill="FFFFFF"/>
        <w:ind w:right="5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Содействие развитию малого и среднего предпринимательства в автономном округе в области инновационной деятельности осуществляет автономное учреждение Ханты-Мансийского автономного округа - Югры «Технопарк высоких технологий», созданное распоряжением Правительства Ханты-Мансийского автономного округа - Югры от 20 ноября 2008 № 497-рп.</w:t>
      </w:r>
    </w:p>
    <w:p w:rsidR="009C38A9" w:rsidRDefault="009C38A9" w:rsidP="009C38A9">
      <w:pPr>
        <w:shd w:val="clear" w:color="auto" w:fill="FFFFFF"/>
        <w:ind w:right="19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предпринимательства, осуществляющие инновационную деятельность, имеют возможность получить поддержку в автономном учреждении Ханты-Мансийского автономного округа - Югры «Технопарк высоких технологий», по адресу: г. Ханты-Мансийск, ул. Студенческая д. 27 тел. 8 (3467) 361-889, электронный адрес: </w:t>
      </w:r>
      <w:proofErr w:type="spellStart"/>
      <w:r w:rsidR="0021735A">
        <w:rPr>
          <w:rFonts w:ascii="Times New Roman" w:hAnsi="Times New Roman" w:cs="Times New Roman"/>
          <w:sz w:val="26"/>
          <w:szCs w:val="26"/>
          <w:u w:val="single"/>
          <w:lang w:val="en-US"/>
        </w:rPr>
        <w:t>tp</w:t>
      </w:r>
      <w:proofErr w:type="spellEnd"/>
      <w:r w:rsidR="0021735A" w:rsidRPr="001E4E17">
        <w:rPr>
          <w:rFonts w:ascii="Times New Roman" w:hAnsi="Times New Roman" w:cs="Times New Roman"/>
          <w:sz w:val="26"/>
          <w:szCs w:val="26"/>
          <w:u w:val="single"/>
        </w:rPr>
        <w:t>@</w:t>
      </w:r>
      <w:proofErr w:type="spellStart"/>
      <w:r w:rsidR="0021735A">
        <w:rPr>
          <w:rFonts w:ascii="Times New Roman" w:hAnsi="Times New Roman" w:cs="Times New Roman"/>
          <w:sz w:val="26"/>
          <w:szCs w:val="26"/>
          <w:u w:val="single"/>
          <w:lang w:val="en-US"/>
        </w:rPr>
        <w:t>tp</w:t>
      </w:r>
      <w:proofErr w:type="spellEnd"/>
      <w:r w:rsidR="0021735A" w:rsidRPr="001E4E17">
        <w:rPr>
          <w:rFonts w:ascii="Times New Roman" w:hAnsi="Times New Roman" w:cs="Times New Roman"/>
          <w:sz w:val="26"/>
          <w:szCs w:val="26"/>
          <w:u w:val="single"/>
        </w:rPr>
        <w:t>86.</w:t>
      </w:r>
      <w:proofErr w:type="spellStart"/>
      <w:r w:rsidR="0021735A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9C38A9">
        <w:rPr>
          <w:rFonts w:ascii="Times New Roman" w:hAnsi="Times New Roman" w:cs="Times New Roman"/>
          <w:sz w:val="26"/>
          <w:szCs w:val="26"/>
        </w:rPr>
        <w:t>.</w:t>
      </w:r>
    </w:p>
    <w:p w:rsidR="009C38A9" w:rsidRDefault="009C38A9" w:rsidP="009C38A9">
      <w:pPr>
        <w:shd w:val="clear" w:color="auto" w:fill="FFFFFF"/>
        <w:ind w:right="29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Информация о формах поддержки размещена на официальном сайте Технопарка высоких технологий </w:t>
      </w:r>
      <w:hyperlink r:id="rId7" w:history="1">
        <w:r w:rsidR="0021735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1735A" w:rsidRPr="00A0627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1735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tp</w:t>
        </w:r>
        <w:proofErr w:type="spellEnd"/>
        <w:r w:rsidR="0021735A" w:rsidRPr="00A0627B">
          <w:rPr>
            <w:rStyle w:val="a3"/>
            <w:rFonts w:ascii="Times New Roman" w:hAnsi="Times New Roman" w:cs="Times New Roman"/>
            <w:sz w:val="26"/>
            <w:szCs w:val="26"/>
          </w:rPr>
          <w:t>86.</w:t>
        </w:r>
        <w:proofErr w:type="spellStart"/>
        <w:r w:rsidR="0021735A" w:rsidRPr="00A0627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C38A9">
        <w:rPr>
          <w:rFonts w:ascii="Times New Roman" w:hAnsi="Times New Roman" w:cs="Times New Roman"/>
          <w:sz w:val="26"/>
          <w:szCs w:val="26"/>
        </w:rPr>
        <w:t>.</w:t>
      </w:r>
    </w:p>
    <w:p w:rsidR="009C38A9" w:rsidRDefault="009C38A9" w:rsidP="009C38A9">
      <w:pPr>
        <w:shd w:val="clear" w:color="auto" w:fill="FFFFFF"/>
        <w:ind w:right="29"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содействия в реализации государственной политики в области поддержки внешнеэкономической деятельности субъектов малого и среднего предпринимательства, в соответствии с распоряжением Правительства Ханты-Мансийского автономного округа - Югры от 13 апреля 2013 года № 172-рп, в автономном округе действует некоммерческая организация Фонд «Центр координации поддержки экспортно-ориентированных субъектов малого и среднего </w:t>
      </w:r>
      <w:r>
        <w:rPr>
          <w:rFonts w:ascii="Times New Roman" w:hAnsi="Times New Roman" w:cs="Times New Roman"/>
          <w:sz w:val="26"/>
          <w:szCs w:val="26"/>
        </w:rPr>
        <w:lastRenderedPageBreak/>
        <w:t>предпринимательства Югры» (далее - Фонд «Центр поддержки экспорта Югры»).</w:t>
      </w:r>
      <w:proofErr w:type="gramEnd"/>
    </w:p>
    <w:p w:rsidR="009C38A9" w:rsidRDefault="009C38A9" w:rsidP="00B072DF">
      <w:pPr>
        <w:shd w:val="clear" w:color="auto" w:fill="FFFFFF"/>
        <w:ind w:right="34"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Целью деятельности Фонда «Центр поддержки экспорта Югры» является увеличение внешнеторгового сальдо за счет экспорта и диверсификации товарной структуры внешнеторгового оборота, увеличение количества субъектов малого и среднего предпринимательства,</w:t>
      </w:r>
      <w:r w:rsidR="00B072DF" w:rsidRPr="00B072DF">
        <w:rPr>
          <w:rFonts w:ascii="Times New Roman" w:hAnsi="Times New Roman" w:cs="Times New Roman"/>
          <w:sz w:val="26"/>
          <w:szCs w:val="26"/>
        </w:rPr>
        <w:t xml:space="preserve"> </w:t>
      </w:r>
      <w:r w:rsidR="00B072DF">
        <w:rPr>
          <w:rFonts w:ascii="Times New Roman" w:hAnsi="Times New Roman" w:cs="Times New Roman"/>
          <w:sz w:val="26"/>
          <w:szCs w:val="26"/>
        </w:rPr>
        <w:t>осуществляющих внешнеэкономическую деятельность и</w:t>
      </w:r>
      <w:r w:rsidR="001E4E17">
        <w:rPr>
          <w:rFonts w:ascii="Times New Roman" w:hAnsi="Times New Roman" w:cs="Times New Roman"/>
          <w:sz w:val="26"/>
          <w:szCs w:val="26"/>
        </w:rPr>
        <w:t xml:space="preserve"> зарегистрированных </w:t>
      </w:r>
      <w:r w:rsidR="00B072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автономном округе, популяризации продукции </w:t>
      </w:r>
      <w:r w:rsidR="001E4E17">
        <w:rPr>
          <w:rFonts w:ascii="Times New Roman" w:hAnsi="Times New Roman" w:cs="Times New Roman"/>
          <w:sz w:val="26"/>
          <w:szCs w:val="26"/>
        </w:rPr>
        <w:t>региональных</w:t>
      </w:r>
      <w:r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</w:t>
      </w:r>
      <w:r w:rsidR="001E4E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1E4E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производителей товаров и услуг на внешних рынках, в том числе на межрегиональных.</w:t>
      </w:r>
      <w:proofErr w:type="gramEnd"/>
    </w:p>
    <w:p w:rsidR="009C38A9" w:rsidRDefault="009C38A9" w:rsidP="009C38A9">
      <w:pPr>
        <w:shd w:val="clear" w:color="auto" w:fill="FFFFFF"/>
        <w:ind w:right="5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Для получения более подробных разъяснений о формах поддержки субъект предпринимательства может обратиться в Фонд «Центр поддержки экспорта Югры», по адресу: </w:t>
      </w:r>
      <w:r w:rsidR="001E4E17">
        <w:rPr>
          <w:rFonts w:ascii="Times New Roman" w:hAnsi="Times New Roman" w:cs="Times New Roman"/>
          <w:sz w:val="26"/>
          <w:szCs w:val="26"/>
        </w:rPr>
        <w:t>г. Ханты-Мансийск, ул. Гагарина,</w:t>
      </w:r>
      <w:r>
        <w:rPr>
          <w:rFonts w:ascii="Times New Roman" w:hAnsi="Times New Roman" w:cs="Times New Roman"/>
          <w:sz w:val="26"/>
          <w:szCs w:val="26"/>
        </w:rPr>
        <w:t xml:space="preserve"> д. 101; телефоны: (3467) 32-90-80, 8 (3467) 301-445, факс: 8 (3467) 301-446; электронный адрес: </w:t>
      </w:r>
      <w:hyperlink r:id="rId8" w:history="1"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export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ugra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 xml:space="preserve">. </w:t>
        </w:r>
      </w:hyperlink>
    </w:p>
    <w:p w:rsidR="009C38A9" w:rsidRDefault="009C38A9" w:rsidP="009C38A9">
      <w:pPr>
        <w:shd w:val="clear" w:color="auto" w:fill="FFFFFF"/>
        <w:ind w:right="10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Информация о формах поддержк</w:t>
      </w:r>
      <w:r w:rsidR="001E4E17">
        <w:rPr>
          <w:rFonts w:ascii="Times New Roman" w:hAnsi="Times New Roman" w:cs="Times New Roman"/>
          <w:sz w:val="26"/>
          <w:szCs w:val="26"/>
        </w:rPr>
        <w:t>и размещ</w:t>
      </w:r>
      <w:r>
        <w:rPr>
          <w:rFonts w:ascii="Times New Roman" w:hAnsi="Times New Roman" w:cs="Times New Roman"/>
          <w:sz w:val="26"/>
          <w:szCs w:val="26"/>
        </w:rPr>
        <w:t xml:space="preserve">ена на сайте Фонд «Центр поддержки экспорта Югры» </w:t>
      </w:r>
      <w:hyperlink r:id="rId9" w:history="1"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export</w:t>
        </w:r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ugra</w:t>
        </w:r>
        <w:proofErr w:type="spellEnd"/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E4E17"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9C38A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C38A9" w:rsidRDefault="009C38A9" w:rsidP="009C38A9">
      <w:pPr>
        <w:shd w:val="clear" w:color="auto" w:fill="FFFFFF"/>
        <w:spacing w:before="10"/>
        <w:ind w:right="19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 Программой инвестору, реализующему инвестиционный прое</w:t>
      </w:r>
      <w:proofErr w:type="gramStart"/>
      <w:r>
        <w:rPr>
          <w:rFonts w:ascii="Times New Roman" w:hAnsi="Times New Roman" w:cs="Times New Roman"/>
          <w:sz w:val="26"/>
          <w:szCs w:val="26"/>
        </w:rPr>
        <w:t>кт в сф</w:t>
      </w:r>
      <w:proofErr w:type="gramEnd"/>
      <w:r>
        <w:rPr>
          <w:rFonts w:ascii="Times New Roman" w:hAnsi="Times New Roman" w:cs="Times New Roman"/>
          <w:sz w:val="26"/>
          <w:szCs w:val="26"/>
        </w:rPr>
        <w:t>ере потребительского рынка может быть предоставлена государственная поддержка в форме субсидий на возмещение час</w:t>
      </w:r>
      <w:r w:rsidR="001E4E17">
        <w:rPr>
          <w:rFonts w:ascii="Times New Roman" w:hAnsi="Times New Roman" w:cs="Times New Roman"/>
          <w:sz w:val="26"/>
          <w:szCs w:val="26"/>
        </w:rPr>
        <w:t>ти затрат на уплату процентов по</w:t>
      </w:r>
      <w:r>
        <w:rPr>
          <w:rFonts w:ascii="Times New Roman" w:hAnsi="Times New Roman" w:cs="Times New Roman"/>
          <w:sz w:val="26"/>
          <w:szCs w:val="26"/>
        </w:rPr>
        <w:t xml:space="preserve"> привлекаемым заемным средствам.</w:t>
      </w:r>
    </w:p>
    <w:p w:rsidR="009C38A9" w:rsidRPr="00E11316" w:rsidRDefault="001E4E17" w:rsidP="009C38A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Более</w:t>
      </w:r>
      <w:r w:rsidR="009C38A9">
        <w:rPr>
          <w:rFonts w:ascii="Times New Roman" w:hAnsi="Times New Roman" w:cs="Times New Roman"/>
          <w:sz w:val="26"/>
          <w:szCs w:val="26"/>
        </w:rPr>
        <w:t xml:space="preserve">  подробная  информация о формах  поддержки  размещена  на Инвестиционном   портале   Ханты-Мансийского   автономного   округа Югры </w:t>
      </w:r>
      <w:hyperlink r:id="rId10" w:history="1">
        <w:r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investugra</w:t>
        </w:r>
        <w:proofErr w:type="spellEnd"/>
        <w:r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32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32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</w:hyperlink>
    </w:p>
    <w:p w:rsidR="009C38A9" w:rsidRDefault="00A235AD" w:rsidP="00A235AD">
      <w:pPr>
        <w:shd w:val="clear" w:color="auto" w:fill="FFFFFF"/>
        <w:ind w:right="29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Н</w:t>
      </w:r>
      <w:proofErr w:type="gramStart"/>
      <w:r w:rsidR="009C38A9"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 w:rsidR="009C38A9" w:rsidRPr="009C38A9">
        <w:rPr>
          <w:rFonts w:ascii="Times New Roman" w:hAnsi="Times New Roman" w:cs="Times New Roman"/>
          <w:sz w:val="26"/>
          <w:szCs w:val="26"/>
        </w:rPr>
        <w:t xml:space="preserve"> </w:t>
      </w:r>
      <w:r w:rsidR="009C38A9">
        <w:rPr>
          <w:rFonts w:ascii="Times New Roman" w:hAnsi="Times New Roman" w:cs="Times New Roman"/>
          <w:sz w:val="26"/>
          <w:szCs w:val="26"/>
        </w:rPr>
        <w:t xml:space="preserve">основании распоряжения Правительства автономного округа от 1 декабря 2008 года № 522-рп «О создании некоммерческой организации «Фонд содействия развитию инвестиций в субъекты малого и среднего предпринимательства в Ханты-Мансийском автономном округе - Югре» (в редакции распоряжения Правительства автономного округа от 9 августа 2013 года № 414-рп) в соответствии со Стратегией развития фонда до 2020 года и на период до 2030 года (распоряжение Правительства автономного округа от 21 февраля </w:t>
      </w:r>
      <w:r w:rsidR="009C38A9">
        <w:rPr>
          <w:rFonts w:ascii="Times New Roman" w:hAnsi="Times New Roman" w:cs="Times New Roman"/>
          <w:spacing w:val="12"/>
          <w:sz w:val="26"/>
          <w:szCs w:val="26"/>
        </w:rPr>
        <w:t>2014</w:t>
      </w:r>
      <w:r w:rsidR="009C38A9">
        <w:rPr>
          <w:rFonts w:ascii="Times New Roman" w:hAnsi="Times New Roman" w:cs="Times New Roman"/>
          <w:sz w:val="26"/>
          <w:szCs w:val="26"/>
        </w:rPr>
        <w:t xml:space="preserve"> года № 90-рп) в автономном округе осуществляет    деятельность,    в    том    числе    по    созданию   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38A9">
        <w:rPr>
          <w:rFonts w:ascii="Times New Roman" w:hAnsi="Times New Roman" w:cs="Times New Roman"/>
          <w:w w:val="41"/>
          <w:sz w:val="8"/>
          <w:szCs w:val="8"/>
        </w:rPr>
        <w:t>1</w:t>
      </w:r>
      <w:r w:rsidR="009C38A9">
        <w:rPr>
          <w:rFonts w:ascii="Times New Roman" w:hAnsi="Times New Roman" w:cs="Times New Roman"/>
          <w:sz w:val="26"/>
          <w:szCs w:val="26"/>
        </w:rPr>
        <w:t>инфраструктуры     (индустриальные     парки     и     т.п.),     некоммерческая организация «Фонд развития Югры».</w:t>
      </w:r>
    </w:p>
    <w:p w:rsidR="009C38A9" w:rsidRDefault="009C38A9" w:rsidP="009C38A9">
      <w:pPr>
        <w:shd w:val="clear" w:color="auto" w:fill="FFFFFF"/>
        <w:spacing w:before="10"/>
        <w:ind w:firstLine="567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Основными направлениями деятельности организации «Фонд развития Югры» являются привлечение необходимых инвестиционных ресурсов, иных финансовых и материальных средств, включая привлечение инвестиций для создания и обеспечения функционирования инфраструктуры промышленных зон, индустриальных парков и технопарков в Ханты-Мансийском автономном округе - Югре, а также создание, организация и экспл</w:t>
      </w:r>
      <w:r w:rsidR="00CF2E56">
        <w:rPr>
          <w:rFonts w:ascii="Times New Roman" w:hAnsi="Times New Roman" w:cs="Times New Roman"/>
          <w:sz w:val="26"/>
          <w:szCs w:val="26"/>
        </w:rPr>
        <w:t>уатация объектов инфраструктуры,</w:t>
      </w:r>
      <w:r>
        <w:rPr>
          <w:rFonts w:ascii="Times New Roman" w:hAnsi="Times New Roman" w:cs="Times New Roman"/>
          <w:sz w:val="26"/>
          <w:szCs w:val="26"/>
        </w:rPr>
        <w:t xml:space="preserve"> обеспечивающей функционирование промышленных зон, индустриальных парков и технопарков.</w:t>
      </w:r>
      <w:proofErr w:type="gramEnd"/>
    </w:p>
    <w:p w:rsidR="009C38A9" w:rsidRDefault="009C38A9" w:rsidP="009C38A9">
      <w:pPr>
        <w:shd w:val="clear" w:color="auto" w:fill="FFFFFF"/>
        <w:spacing w:before="14"/>
        <w:ind w:right="38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Для получения более подробных разъяснений о порядке участия организации «Фонд развития Югры» в реализации инвестиционных проектов можно обращаться в Фонд развития Югры, по адресу: г. Ханты-Мансийск, ул. Энгельса, д. 45, блок ВЗ, 2-ой этаж; тел.: 8 (3467) 301-445, факс: 8 (3467) 301-446, электронный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C38A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C38A9">
        <w:rPr>
          <w:rFonts w:ascii="Times New Roman" w:hAnsi="Times New Roman" w:cs="Times New Roman"/>
          <w:sz w:val="26"/>
          <w:szCs w:val="26"/>
        </w:rPr>
        <w:t xml:space="preserve">: </w:t>
      </w:r>
      <w:r w:rsidR="00CF2E56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="00CF2E56" w:rsidRPr="00CF2E56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F2E56">
        <w:rPr>
          <w:rFonts w:ascii="Times New Roman" w:hAnsi="Times New Roman" w:cs="Times New Roman"/>
          <w:sz w:val="26"/>
          <w:szCs w:val="26"/>
          <w:lang w:val="en-US"/>
        </w:rPr>
        <w:t>fondugra</w:t>
      </w:r>
      <w:proofErr w:type="spellEnd"/>
      <w:r w:rsidR="00CF2E56" w:rsidRPr="00CF2E5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F2E5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C38A9" w:rsidRPr="00CF2E56" w:rsidRDefault="009C38A9" w:rsidP="009C38A9">
      <w:pPr>
        <w:shd w:val="clear" w:color="auto" w:fill="FFFFFF"/>
        <w:ind w:right="48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Информация о формах поддержки размешена на официальном сайте </w:t>
      </w:r>
      <w:r w:rsidR="00CF2E5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CF2E56" w:rsidRPr="00CF2E56">
        <w:rPr>
          <w:rFonts w:ascii="Times New Roman" w:hAnsi="Times New Roman" w:cs="Times New Roman"/>
          <w:sz w:val="26"/>
          <w:szCs w:val="26"/>
        </w:rPr>
        <w:t>.</w:t>
      </w:r>
      <w:r w:rsidR="00CF2E56">
        <w:rPr>
          <w:rFonts w:ascii="Times New Roman" w:hAnsi="Times New Roman" w:cs="Times New Roman"/>
          <w:sz w:val="26"/>
          <w:szCs w:val="26"/>
          <w:lang w:val="en-US"/>
        </w:rPr>
        <w:t>fondugra</w:t>
      </w:r>
      <w:r w:rsidR="00CF2E56" w:rsidRPr="00CF2E56">
        <w:rPr>
          <w:rFonts w:ascii="Times New Roman" w:hAnsi="Times New Roman" w:cs="Times New Roman"/>
          <w:sz w:val="26"/>
          <w:szCs w:val="26"/>
        </w:rPr>
        <w:t>.</w:t>
      </w:r>
      <w:r w:rsidR="00CF2E5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F2E56" w:rsidRPr="00CF2E56">
        <w:rPr>
          <w:rFonts w:ascii="Times New Roman" w:hAnsi="Times New Roman" w:cs="Times New Roman"/>
          <w:sz w:val="26"/>
          <w:szCs w:val="26"/>
        </w:rPr>
        <w:t>.</w:t>
      </w:r>
    </w:p>
    <w:p w:rsidR="00CF0DED" w:rsidRDefault="00CF0DED" w:rsidP="009C38A9">
      <w:pPr>
        <w:ind w:firstLine="567"/>
        <w:jc w:val="both"/>
      </w:pPr>
    </w:p>
    <w:sectPr w:rsidR="00CF0DED" w:rsidSect="00CF2E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B6A"/>
    <w:multiLevelType w:val="singleLevel"/>
    <w:tmpl w:val="8258F7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A9"/>
    <w:rsid w:val="001E4E17"/>
    <w:rsid w:val="0021735A"/>
    <w:rsid w:val="005657DA"/>
    <w:rsid w:val="007B542E"/>
    <w:rsid w:val="007C0DC9"/>
    <w:rsid w:val="009C38A9"/>
    <w:rsid w:val="00A235AD"/>
    <w:rsid w:val="00B072DF"/>
    <w:rsid w:val="00B17020"/>
    <w:rsid w:val="00CF0DED"/>
    <w:rsid w:val="00CF2E56"/>
    <w:rsid w:val="00E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xport-ugra.ru.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p8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-ugra.ru.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vestugra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rt-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17</cp:revision>
  <dcterms:created xsi:type="dcterms:W3CDTF">2016-02-18T05:27:00Z</dcterms:created>
  <dcterms:modified xsi:type="dcterms:W3CDTF">2016-02-18T08:49:00Z</dcterms:modified>
</cp:coreProperties>
</file>